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AD" w:rsidRDefault="00BF1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Poznámky konsolidovanej účtovnej závierky obce Krížová Ves</w:t>
      </w:r>
    </w:p>
    <w:p w:rsidR="003E1AAD" w:rsidRDefault="00BF1534">
      <w:pPr>
        <w:jc w:val="center"/>
      </w:pPr>
      <w:r>
        <w:rPr>
          <w:b/>
          <w:sz w:val="28"/>
          <w:szCs w:val="28"/>
        </w:rPr>
        <w:t xml:space="preserve">zostavenej k 31. decembru </w:t>
      </w:r>
      <w:r>
        <w:rPr>
          <w:b/>
          <w:iCs/>
          <w:sz w:val="28"/>
          <w:szCs w:val="28"/>
        </w:rPr>
        <w:t>2019</w:t>
      </w:r>
    </w:p>
    <w:p w:rsidR="003E1AAD" w:rsidRDefault="003E1AAD">
      <w:pPr>
        <w:pStyle w:val="odstavec"/>
      </w:pP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 xml:space="preserve">VŠEOBECNÉ ÚDAJE </w:t>
      </w:r>
    </w:p>
    <w:p w:rsidR="003E1AAD" w:rsidRDefault="003E1AAD">
      <w:pPr>
        <w:pStyle w:val="Nadpis1"/>
      </w:pPr>
    </w:p>
    <w:p w:rsidR="003E1AAD" w:rsidRDefault="00BF1534">
      <w:pPr>
        <w:pStyle w:val="Nadpis2"/>
      </w:pPr>
      <w:r>
        <w:t>Identifikačné údaje konsolidujúcej</w:t>
      </w:r>
      <w:r>
        <w:rPr>
          <w:rFonts w:ascii="Arial" w:hAnsi="Arial" w:cs="Arial"/>
          <w:sz w:val="16"/>
          <w:szCs w:val="16"/>
        </w:rPr>
        <w:t xml:space="preserve">  </w:t>
      </w:r>
      <w:r>
        <w:t>účtovnej jednotky</w:t>
      </w:r>
    </w:p>
    <w:p w:rsidR="003E1AAD" w:rsidRDefault="00BF1534">
      <w:pPr>
        <w:pStyle w:val="odstavec"/>
      </w:pPr>
      <w:r>
        <w:t>Obec Krížová Ves</w:t>
      </w:r>
    </w:p>
    <w:p w:rsidR="003E1AAD" w:rsidRDefault="00BF1534">
      <w:pPr>
        <w:pStyle w:val="odstavec"/>
      </w:pPr>
      <w:r>
        <w:t xml:space="preserve">059 01 </w:t>
      </w:r>
      <w:r>
        <w:t>Krížová Ves č. 51</w:t>
      </w:r>
    </w:p>
    <w:p w:rsidR="003E1AAD" w:rsidRDefault="00BF1534">
      <w:pPr>
        <w:pStyle w:val="odstavec"/>
      </w:pPr>
      <w:r>
        <w:t>IČO: 00326305</w:t>
      </w:r>
    </w:p>
    <w:p w:rsidR="003E1AAD" w:rsidRDefault="00BF1534">
      <w:pPr>
        <w:pStyle w:val="odstavec"/>
      </w:pPr>
      <w:r>
        <w:t xml:space="preserve">Obec Krížová Ves (v ďalšom texte len „Obec“) bola založená v roku 1990 zákonom č. 369/1990 Zb. o obecnom zriadení. </w:t>
      </w:r>
    </w:p>
    <w:p w:rsidR="003E1AAD" w:rsidRDefault="003E1AAD">
      <w:pPr>
        <w:pStyle w:val="odstavec"/>
        <w:rPr>
          <w:i/>
          <w:u w:val="single"/>
        </w:rPr>
      </w:pPr>
    </w:p>
    <w:p w:rsidR="003E1AAD" w:rsidRDefault="003E1AAD">
      <w:pPr>
        <w:pStyle w:val="odstavec"/>
        <w:rPr>
          <w:i/>
          <w:u w:val="single"/>
        </w:rPr>
      </w:pPr>
    </w:p>
    <w:p w:rsidR="003E1AAD" w:rsidRDefault="00BF1534">
      <w:pPr>
        <w:pStyle w:val="odstavec"/>
        <w:rPr>
          <w:i/>
          <w:u w:val="single"/>
        </w:rPr>
      </w:pPr>
      <w:r>
        <w:rPr>
          <w:i/>
          <w:u w:val="single"/>
        </w:rPr>
        <w:t>Identifikačné údaje konsolidovaných účtovných jednotiek</w:t>
      </w:r>
    </w:p>
    <w:p w:rsidR="003E1AAD" w:rsidRDefault="003E1AAD">
      <w:pPr>
        <w:pStyle w:val="odstavec"/>
        <w:rPr>
          <w:i/>
          <w:u w:val="single"/>
        </w:rPr>
      </w:pPr>
    </w:p>
    <w:p w:rsidR="003E1AAD" w:rsidRDefault="00BF1534">
      <w:pPr>
        <w:pStyle w:val="odstavec"/>
      </w:pPr>
      <w:r>
        <w:t>Obec má v zriaďovateľskej pôsobnosti 1 rozpočtovú</w:t>
      </w:r>
      <w:r>
        <w:t xml:space="preserve"> organizáciu a to Základnú školu Krížová Ves. Druhou organizáciou je Rozvoj Krížovej Vsi s.r.o. </w:t>
      </w:r>
    </w:p>
    <w:p w:rsidR="003E1AAD" w:rsidRDefault="003E1AAD">
      <w:pPr>
        <w:pStyle w:val="odstavec"/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4678"/>
        <w:gridCol w:w="4820"/>
      </w:tblGrid>
      <w:tr w:rsidR="003E1AAD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Názov konsolidovanej účtovnej jednotky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Sídlo konsolidovanej účtovnej jednotky</w:t>
            </w: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Základná škola Krížová Ves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059 01 Krížová Ves č.43</w:t>
            </w: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Rozvoj  Krížovej Vsi s.r.o.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059 01 Krížová Ves č.51</w:t>
            </w:r>
          </w:p>
        </w:tc>
      </w:tr>
    </w:tbl>
    <w:p w:rsidR="003E1AAD" w:rsidRDefault="003E1AAD">
      <w:pPr>
        <w:pStyle w:val="odstavec"/>
      </w:pPr>
    </w:p>
    <w:p w:rsidR="003E1AAD" w:rsidRDefault="00BF1534">
      <w:pPr>
        <w:pStyle w:val="odstavec"/>
      </w:pPr>
      <w:r>
        <w:t xml:space="preserve">Konsolidovaný celok Obce sa v roku 2019 nezmenil. 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 xml:space="preserve">Prehľad o účtovných jednotkách konsolidovaného celku je uvedený,  v tabuľkovej časti </w:t>
      </w:r>
      <w:r>
        <w:rPr>
          <w:i/>
        </w:rPr>
        <w:t>Údaje o konsolidovanom celku</w:t>
      </w:r>
      <w:r>
        <w:t xml:space="preserve">. 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 xml:space="preserve">Konsolidovaná účtovná závierka konsolidovaného celku Obce k </w:t>
      </w:r>
      <w:r>
        <w:t xml:space="preserve">31. decembru 2019 je zostavená ako riadna konsolidovaná účtovná závierka podľa zákona č. 431/2002 Z. z. o účtovníctve v znení neskorších predpisov, za účtovné obdobie od 1. januára 2019 do                      31. decembra 2019. 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>Obec je súčasťou súhrnnéh</w:t>
      </w:r>
      <w:r>
        <w:t>o celku verejnej správy Slovenskej republiky.</w:t>
      </w:r>
    </w:p>
    <w:p w:rsidR="003E1AAD" w:rsidRDefault="003E1AAD"/>
    <w:p w:rsidR="003E1AAD" w:rsidRDefault="00BF1534">
      <w:pPr>
        <w:pStyle w:val="Nadpis2"/>
      </w:pPr>
      <w:r>
        <w:t>Informácie o vedúcich predstaviteľoch a o zamestnancoch konsolidovaného celku</w:t>
      </w:r>
    </w:p>
    <w:p w:rsidR="003E1AAD" w:rsidRDefault="00BF1534">
      <w:pPr>
        <w:pStyle w:val="odstavec"/>
      </w:pPr>
      <w:r>
        <w:t xml:space="preserve">Starosta obce: </w:t>
      </w:r>
      <w:r>
        <w:tab/>
      </w:r>
      <w:r>
        <w:tab/>
        <w:t xml:space="preserve">            Jozef Grivalský</w:t>
      </w:r>
    </w:p>
    <w:p w:rsidR="003E1AAD" w:rsidRDefault="00BF1534">
      <w:pPr>
        <w:pStyle w:val="odstavec"/>
      </w:pPr>
      <w:r>
        <w:t>Zástupca starostu:</w:t>
      </w:r>
      <w:r>
        <w:tab/>
      </w:r>
      <w:r>
        <w:tab/>
        <w:t>Pavol Bujňák</w:t>
      </w:r>
    </w:p>
    <w:p w:rsidR="003E1AAD" w:rsidRDefault="00BF1534">
      <w:pPr>
        <w:pStyle w:val="odstavec"/>
      </w:pPr>
      <w:r>
        <w:t>Hlavný kontrolór obce:</w:t>
      </w:r>
      <w:r>
        <w:tab/>
        <w:t>Ing. Stanislav Novajovský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>Pri</w:t>
      </w:r>
      <w:r>
        <w:t>emerný počet zamestnancov konsolidovaného celku obce bol 86, z toho 4 vedúci zamestnanci (v roku 2018 bol priemerný počet zamestnancov 108, z toho 4 vedúci zamestnanci).</w:t>
      </w:r>
    </w:p>
    <w:p w:rsidR="003E1AAD" w:rsidRDefault="003E1AAD">
      <w:pPr>
        <w:pStyle w:val="Nadpis2"/>
      </w:pPr>
    </w:p>
    <w:p w:rsidR="003E1AAD" w:rsidRDefault="00BF1534">
      <w:pPr>
        <w:pStyle w:val="Nadpis2"/>
      </w:pPr>
      <w:r>
        <w:t>Informácia o splnení predpokladu nepretržitého pokračovania v činnosti účtovnej jedno</w:t>
      </w:r>
      <w:r>
        <w:t xml:space="preserve">tky  </w:t>
      </w:r>
    </w:p>
    <w:p w:rsidR="003E1AAD" w:rsidRDefault="00BF1534">
      <w:pPr>
        <w:pStyle w:val="odstavec"/>
      </w:pPr>
      <w:r>
        <w:t>Konsolidovaná účtovná závierka Obce bola zostavená za predpokladu nepretržitého pokračovania v činnosti jednotlivých účtovných jednotiek tvoriacich konsolidovaný celok, a to v súlade so zákonom o účtovníctve a nadväzujúcimi právnymi predpismi.</w:t>
      </w:r>
    </w:p>
    <w:p w:rsidR="003E1AAD" w:rsidRDefault="003E1AAD">
      <w:pPr>
        <w:pStyle w:val="odstavec"/>
      </w:pPr>
    </w:p>
    <w:p w:rsidR="003E1AAD" w:rsidRDefault="00BF1534">
      <w:pPr>
        <w:pStyle w:val="Nadpis2"/>
      </w:pPr>
      <w:r>
        <w:t>Zmeny</w:t>
      </w:r>
      <w:r>
        <w:t xml:space="preserve"> účtovných metód a účtovných zásad</w:t>
      </w:r>
    </w:p>
    <w:p w:rsidR="003E1AAD" w:rsidRDefault="00BF1534">
      <w:pPr>
        <w:pStyle w:val="odstavec"/>
      </w:pPr>
      <w:r>
        <w:t>Účtovné metódy a všeobecné účtovné zásady boli v konsolidovanom celku konzistentne aplikované.</w:t>
      </w:r>
    </w:p>
    <w:p w:rsidR="003E1AAD" w:rsidRDefault="003E1AAD">
      <w:pPr>
        <w:pStyle w:val="abc"/>
        <w:rPr>
          <w:sz w:val="24"/>
          <w:szCs w:val="24"/>
        </w:rPr>
      </w:pPr>
    </w:p>
    <w:p w:rsidR="003E1AAD" w:rsidRDefault="00BF1534">
      <w:pPr>
        <w:pStyle w:val="Nadpis2"/>
      </w:pPr>
      <w:r>
        <w:t>Spôsob ocenenia jednotlivých zložiek</w:t>
      </w:r>
    </w:p>
    <w:p w:rsidR="003E1AAD" w:rsidRDefault="00BF1534">
      <w:pPr>
        <w:pStyle w:val="odstavec"/>
      </w:pPr>
      <w:r>
        <w:rPr>
          <w:u w:val="single"/>
        </w:rPr>
        <w:t>Dlhodobý majetok</w:t>
      </w:r>
      <w:r>
        <w:t xml:space="preserve"> obstaraný kúpou sa oceňuje obstarávacou cenou, ktorá zahrňuje cenu obst</w:t>
      </w:r>
      <w:r>
        <w:t xml:space="preserve">arania a náklady súvisiace s obstaraním (clo, prepravu, montáž, poistné a pod.). Súčasťou obstarávacej ceny dlhodobého nehmotného </w:t>
      </w:r>
      <w:r>
        <w:tab/>
        <w:t xml:space="preserve">a nehmotného majetku nie sú resp. sú  úroky z úverov do doby zaradenia </w:t>
      </w:r>
      <w:r>
        <w:tab/>
        <w:t>majetku. O zľave z ceny, ktorú poskytol dodávateľ k m</w:t>
      </w:r>
      <w:r>
        <w:t>ajetku sa následne zníži obstarávacia cena predmetného majetku.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>Dlhodobý majetok vytvorený vlastnou činnosťou sa oceňuje vlastnými nákladmi. Za vlastné náklady sa považujú všetky priame náklady vynaložené na výrobu alebo inú činnosť a všetky nepriame nákl</w:t>
      </w:r>
      <w:r>
        <w:t xml:space="preserve">ady vzťahujúce sa na výrobu </w:t>
      </w:r>
      <w:r>
        <w:tab/>
        <w:t xml:space="preserve">alebo inú činnosť. Majetok vytvorený vlastnou činnosťou by sa ocenil reprodukčnou obstarávacou cenou v prípade, ak by vlastné náklady boli vyššie </w:t>
      </w:r>
      <w:r>
        <w:tab/>
        <w:t>ako reprodukčná obstarávacia cena tohto majetku.</w:t>
      </w:r>
    </w:p>
    <w:p w:rsidR="003E1AAD" w:rsidRDefault="003E1AAD">
      <w:pPr>
        <w:pStyle w:val="odstavec"/>
      </w:pPr>
    </w:p>
    <w:p w:rsidR="003E1AAD" w:rsidRDefault="00BF1534">
      <w:pPr>
        <w:tabs>
          <w:tab w:val="left" w:pos="540"/>
        </w:tabs>
        <w:jc w:val="both"/>
      </w:pPr>
      <w:r>
        <w:t>Dlhodobý majetok nadobudnutý b</w:t>
      </w:r>
      <w:r>
        <w:t>ezodplatným prevodom pri splynutí, zlúčení, rozdelení alebo pri prevode správy sa oceňuje cenou, v ktorej sa doteraz viedol v účtovníctve. Ak cenu nie je možné zistiť, oceňuje sa reprodukčnou obstarávacou cenou. Dlhodobý nehmotný a hmotný majetok obstaraný</w:t>
      </w:r>
      <w:r>
        <w:t xml:space="preserve"> iným spôsobom (napr. bezodplatne nadobudnutý majetok, delimitovaný, novo zistený majetok pri inventarizácii) sa oceňuje reprodukčnou obstarávacou cenou. Reprodukčná obstarávacia  cena je  cena, za ktorú  by sa majetok obstaral v čase, keď sa o ňom účtuje.</w:t>
      </w:r>
    </w:p>
    <w:p w:rsidR="003E1AAD" w:rsidRDefault="003E1AAD">
      <w:pPr>
        <w:tabs>
          <w:tab w:val="left" w:pos="540"/>
        </w:tabs>
        <w:jc w:val="both"/>
      </w:pPr>
    </w:p>
    <w:p w:rsidR="003E1AAD" w:rsidRDefault="00BF1534">
      <w:pPr>
        <w:pStyle w:val="odstavec"/>
      </w:pPr>
      <w:r>
        <w:t>Predpokladaná doba používania, metóda odpisovania a odpisová sadzba uplatňovaná pri účtovných odpisoch sú uvedené v nasledujúcej tabuľke:</w:t>
      </w:r>
    </w:p>
    <w:p w:rsidR="003E1AAD" w:rsidRDefault="003E1AAD">
      <w:pPr>
        <w:pStyle w:val="Zkladntext"/>
        <w:spacing w:line="276" w:lineRule="auto"/>
        <w:rPr>
          <w:i/>
        </w:rPr>
      </w:pPr>
    </w:p>
    <w:tbl>
      <w:tblPr>
        <w:tblW w:w="9240" w:type="dxa"/>
        <w:tblInd w:w="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2"/>
        <w:gridCol w:w="426"/>
        <w:gridCol w:w="1558"/>
        <w:gridCol w:w="142"/>
        <w:gridCol w:w="1841"/>
        <w:gridCol w:w="142"/>
        <w:gridCol w:w="1729"/>
      </w:tblGrid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predpokladaná</w:t>
            </w:r>
          </w:p>
        </w:tc>
        <w:tc>
          <w:tcPr>
            <w:tcW w:w="1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metóda</w:t>
            </w:r>
          </w:p>
        </w:tc>
        <w:tc>
          <w:tcPr>
            <w:tcW w:w="1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ročná odpisová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doba používania</w:t>
            </w:r>
          </w:p>
        </w:tc>
        <w:tc>
          <w:tcPr>
            <w:tcW w:w="1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odpisovania</w:t>
            </w:r>
          </w:p>
        </w:tc>
        <w:tc>
          <w:tcPr>
            <w:tcW w:w="1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sadzba v %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náklady na vývoj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lineárna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softvare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lineárna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382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oceniteľné práva (licencie)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lineárna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drobný dlhodobý nehmotný majetok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lineárna</w:t>
            </w:r>
          </w:p>
        </w:tc>
        <w:tc>
          <w:tcPr>
            <w:tcW w:w="1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</w:tr>
    </w:tbl>
    <w:p w:rsidR="003E1AAD" w:rsidRDefault="003E1AAD">
      <w:pPr>
        <w:pStyle w:val="odstavec"/>
      </w:pPr>
    </w:p>
    <w:p w:rsidR="003E1AAD" w:rsidRDefault="003E1AAD">
      <w:pPr>
        <w:pStyle w:val="odstavec"/>
      </w:pPr>
    </w:p>
    <w:p w:rsidR="003E1AAD" w:rsidRDefault="00BF1534">
      <w:pPr>
        <w:pStyle w:val="Zkladntext"/>
        <w:jc w:val="both"/>
      </w:pPr>
      <w:r>
        <w:lastRenderedPageBreak/>
        <w:t xml:space="preserve">Predpokladaná doba používania, metóda odpisovania a odpisová sadzba uplatňovaná pri účtovných odpisoch sú uvedené v nasledujúcej </w:t>
      </w:r>
      <w:r>
        <w:t>tabuľke:</w:t>
      </w:r>
    </w:p>
    <w:p w:rsidR="003E1AAD" w:rsidRDefault="003E1AAD">
      <w:pPr>
        <w:pStyle w:val="Zkladntext"/>
        <w:spacing w:line="276" w:lineRule="auto"/>
        <w:rPr>
          <w:i/>
        </w:rPr>
      </w:pPr>
    </w:p>
    <w:tbl>
      <w:tblPr>
        <w:tblW w:w="9210" w:type="dxa"/>
        <w:tblInd w:w="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1"/>
        <w:gridCol w:w="426"/>
        <w:gridCol w:w="1700"/>
        <w:gridCol w:w="141"/>
        <w:gridCol w:w="1700"/>
        <w:gridCol w:w="142"/>
        <w:gridCol w:w="1700"/>
      </w:tblGrid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predpokladaná</w:t>
            </w:r>
          </w:p>
        </w:tc>
        <w:tc>
          <w:tcPr>
            <w:tcW w:w="1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metóda</w:t>
            </w:r>
          </w:p>
        </w:tc>
        <w:tc>
          <w:tcPr>
            <w:tcW w:w="1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ročná odpisová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doba používania</w:t>
            </w:r>
          </w:p>
        </w:tc>
        <w:tc>
          <w:tcPr>
            <w:tcW w:w="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odpisovania</w:t>
            </w:r>
          </w:p>
        </w:tc>
        <w:tc>
          <w:tcPr>
            <w:tcW w:w="1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sadzba v %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budovy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lineárna</w:t>
            </w:r>
          </w:p>
        </w:tc>
        <w:tc>
          <w:tcPr>
            <w:tcW w:w="1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stroje, prístroje a zariadenia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lineárna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8,33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dopravné prostriedky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lineárna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16,66</w:t>
            </w:r>
          </w:p>
        </w:tc>
      </w:tr>
      <w:tr w:rsidR="003E1AAD" w:rsidTr="003E1AA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drobný dlhodobý hmotný majetok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lineárna</w:t>
            </w:r>
          </w:p>
        </w:tc>
        <w:tc>
          <w:tcPr>
            <w:tcW w:w="1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3E1AAD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1AAD" w:rsidRDefault="00BF1534">
            <w:pPr>
              <w:pStyle w:val="Tabulka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</w:tr>
    </w:tbl>
    <w:p w:rsidR="003E1AAD" w:rsidRDefault="003E1AAD">
      <w:pPr>
        <w:pStyle w:val="Nadpis1"/>
      </w:pPr>
    </w:p>
    <w:p w:rsidR="003E1AAD" w:rsidRDefault="00BF1534">
      <w:pPr>
        <w:pStyle w:val="odstavec"/>
      </w:pPr>
      <w:r>
        <w:rPr>
          <w:u w:val="single"/>
        </w:rPr>
        <w:t>Cenné papiere a podiely</w:t>
      </w:r>
      <w:r>
        <w:t xml:space="preserve"> sa oceňujú pri ich nadobudnutí obstarávacími cenami, t.j. vrátane nákladov súvisiacich s obstaraním. </w:t>
      </w:r>
    </w:p>
    <w:p w:rsidR="003E1AAD" w:rsidRDefault="00BF1534">
      <w:pPr>
        <w:pStyle w:val="odstavec"/>
      </w:pPr>
      <w:r>
        <w:tab/>
      </w:r>
      <w:r>
        <w:tab/>
      </w:r>
      <w:r>
        <w:tab/>
      </w:r>
    </w:p>
    <w:p w:rsidR="003E1AAD" w:rsidRDefault="00BF1534">
      <w:pPr>
        <w:pStyle w:val="odstavec"/>
      </w:pPr>
      <w:r>
        <w:rPr>
          <w:u w:val="single"/>
        </w:rPr>
        <w:t xml:space="preserve">Zásoby </w:t>
      </w:r>
      <w:r>
        <w:t xml:space="preserve">nakupované sa oceňujú obstarávacou cenou, ktorá zahrňuje cenu </w:t>
      </w:r>
      <w:r>
        <w:tab/>
        <w:t xml:space="preserve">obstarania a náklady súvisiace s obstaraním (clo, </w:t>
      </w:r>
      <w:r>
        <w:t xml:space="preserve">prepravu, poistné, provízie a pod.) znížené o zľavy z ceny. Úbytok zásob rovnakého druhu sa účtuje v ocenení cenou zistenou váženým aritmetickým priemerom z obstarávacích cien (alebo vlastných nákladov alebo metódou FIFO  - prvá cena na ocenenie prírastku </w:t>
      </w:r>
      <w:r>
        <w:t>zásob sa použije ako prvá cena na ocenenie úbytku zásob). Vážený aritmetický priemer sa počíta najmenej raz za mesiac.</w:t>
      </w:r>
    </w:p>
    <w:p w:rsidR="003E1AAD" w:rsidRDefault="00BF1534">
      <w:pPr>
        <w:pStyle w:val="odstavec"/>
      </w:pPr>
      <w:r>
        <w:t>Zásoby vytvorené vlastnou činnosťou sa oceňujú vlastnými nákladmi. Vlastné náklady sú priame náklady (priamy materiál, priame mzdy a osta</w:t>
      </w:r>
      <w:r>
        <w:t xml:space="preserve">tné priame </w:t>
      </w:r>
      <w:r>
        <w:tab/>
        <w:t xml:space="preserve">náklady) a časť nepriamych nákladov bezprostredne súvisiacich s vytvorením zásob vlastnou činnosťou (výrobná réžia). Výrobná réžia sa do vlastných nákladov zahrňuje v závislosti od stupňa rozpracovanosti týchto zásob. </w:t>
      </w:r>
    </w:p>
    <w:p w:rsidR="003E1AAD" w:rsidRDefault="00BF1534">
      <w:pPr>
        <w:tabs>
          <w:tab w:val="left" w:pos="360"/>
        </w:tabs>
        <w:jc w:val="both"/>
      </w:pPr>
      <w:r>
        <w:t>Zásoby nadobudnuté bezodp</w:t>
      </w:r>
      <w:r>
        <w:t xml:space="preserve">latne (darovaním a delimitáciou), prebytky zásob, odpad a zvyškové produkty  sa oceňujú reprodukčnou obstarávacou cenou, čo </w:t>
      </w:r>
      <w:r>
        <w:tab/>
        <w:t>je cena, za ktorú by sa majetok obstaral v čase, keď sa o ňom účtuje.</w:t>
      </w:r>
      <w:r>
        <w:rPr>
          <w:bCs/>
        </w:rPr>
        <w:t xml:space="preserve"> </w:t>
      </w:r>
    </w:p>
    <w:p w:rsidR="003E1AAD" w:rsidRDefault="00BF1534">
      <w:pPr>
        <w:pStyle w:val="odstavec"/>
      </w:pPr>
      <w:r>
        <w:t>Novozistené zásoby pri inventarizácii sa oceňujú reprodukčno</w:t>
      </w:r>
      <w:r>
        <w:t>u obstarávacou cenou.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rPr>
          <w:u w:val="single"/>
        </w:rPr>
        <w:t>Pohľadávky</w:t>
      </w:r>
      <w:r>
        <w:t xml:space="preserve"> sa pri ich vzniku oceňujú menovitou hodnotou. Pohľadávky pri odplatnom nadobudnutí sa oceňujú obstarávacou cenou, t.j. vrátane nákladov súvisiacich s obstaraním. Toto ocenenie sa znižuje o pochybné,  nedobytným pohľadávky </w:t>
      </w:r>
      <w:r>
        <w:t>a o pohľadávky, pri ktorých existuje riziko nevymožiteľnosti.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rPr>
          <w:u w:val="single"/>
        </w:rPr>
        <w:t>Peňažné prostriedky a ceniny</w:t>
      </w:r>
      <w:r>
        <w:t xml:space="preserve"> sa oceňujú menovitou hodnotou.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rPr>
          <w:u w:val="single"/>
        </w:rPr>
        <w:t>Rezervy</w:t>
      </w:r>
      <w:r>
        <w:t xml:space="preserve"> sú záväzky s neurčitým časovým vymedzením alebo výškou a oceňujú sa v očakávanej výške záväzku.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rPr>
          <w:u w:val="single"/>
        </w:rPr>
        <w:t>Záväzky</w:t>
      </w:r>
      <w:r>
        <w:t xml:space="preserve"> sa pri ich vzniku o</w:t>
      </w:r>
      <w:r>
        <w:t xml:space="preserve">ceňujú menovitou hodnotou a pri ich prevzatí sa oceňujú obstarávacou cenou. 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 xml:space="preserve">Účty </w:t>
      </w:r>
      <w:r>
        <w:rPr>
          <w:u w:val="single"/>
        </w:rPr>
        <w:t>časového rozlíšenia aktív a pasív</w:t>
      </w:r>
      <w:r>
        <w:t xml:space="preserve"> sú vykázané vo výške, ktorá je potrebná </w:t>
      </w:r>
      <w:r>
        <w:tab/>
        <w:t>na dodržanie zásady vecnej a časovej súvislosti s účtovným obdobím.</w:t>
      </w:r>
    </w:p>
    <w:p w:rsidR="003E1AAD" w:rsidRDefault="003E1AAD">
      <w:pPr>
        <w:pStyle w:val="Nadpis1"/>
      </w:pPr>
    </w:p>
    <w:p w:rsidR="003E1AAD" w:rsidRDefault="003E1AAD"/>
    <w:p w:rsidR="003E1AAD" w:rsidRDefault="00BF1534">
      <w:pPr>
        <w:rPr>
          <w:b/>
          <w:bCs/>
          <w:kern w:val="3"/>
        </w:rPr>
      </w:pPr>
      <w:r>
        <w:rPr>
          <w:b/>
          <w:bCs/>
          <w:kern w:val="3"/>
        </w:rPr>
        <w:lastRenderedPageBreak/>
        <w:t>INFORMÁCIE O METÓDACH A POST</w:t>
      </w:r>
      <w:r>
        <w:rPr>
          <w:b/>
          <w:bCs/>
          <w:kern w:val="3"/>
        </w:rPr>
        <w:t>UPOCH KONSOLIDÁCIE</w:t>
      </w:r>
    </w:p>
    <w:p w:rsidR="003E1AAD" w:rsidRDefault="003E1AAD">
      <w:pPr>
        <w:spacing w:line="360" w:lineRule="auto"/>
        <w:jc w:val="both"/>
      </w:pPr>
    </w:p>
    <w:p w:rsidR="003E1AAD" w:rsidRDefault="00BF1534">
      <w:pPr>
        <w:jc w:val="both"/>
      </w:pPr>
      <w:r>
        <w:t>Konsolidovaná účtovná závierka Obce Krížová Ves</w:t>
      </w:r>
      <w:r>
        <w:rPr>
          <w:color w:val="0070C0"/>
        </w:rPr>
        <w:t xml:space="preserve"> </w:t>
      </w:r>
      <w:r>
        <w:t>bola zostavená v súlade so zákonom                  č. 431/2002 Z. z. o účtovníctve v znení neskorších predpisov a v súlade s Opatrením Ministerstva financií Slovenskej republiky  zo dňa 1</w:t>
      </w:r>
      <w:r>
        <w:t>7. decembra 2008 č. MF/27526/2008 – 31, ktorým sa ustanovujú podrobnosti o metódach a postupoch konsolidácie vo verejnej správe a podrobnosti o usporiadaní a označovaní položiek konsolidovanej účtovnej závierky vo verejnej správe v znení neskorších predpis</w:t>
      </w:r>
      <w:r>
        <w:t>ov.</w:t>
      </w:r>
    </w:p>
    <w:p w:rsidR="003E1AAD" w:rsidRDefault="003E1AAD">
      <w:pPr>
        <w:jc w:val="both"/>
      </w:pPr>
    </w:p>
    <w:p w:rsidR="003E1AAD" w:rsidRDefault="00BF1534">
      <w:pPr>
        <w:jc w:val="both"/>
      </w:pPr>
      <w:r>
        <w:t xml:space="preserve">V rámci konsolidácie konsolidovaného celku Obce boli eliminované vzájomné pohľadávky, záväzky, náklady a výnosy, bola vykonaná konsolidácia kapitálu. </w:t>
      </w:r>
    </w:p>
    <w:p w:rsidR="003E1AAD" w:rsidRDefault="003E1AAD">
      <w:pPr>
        <w:jc w:val="both"/>
        <w:rPr>
          <w:i/>
        </w:rPr>
      </w:pPr>
    </w:p>
    <w:p w:rsidR="003E1AAD" w:rsidRDefault="00BF1534">
      <w:pPr>
        <w:jc w:val="both"/>
        <w:rPr>
          <w:i/>
        </w:rPr>
      </w:pPr>
      <w:r>
        <w:rPr>
          <w:i/>
        </w:rPr>
        <w:t>Zahrnutie konsolidovaných účtovných jednotiek do konsolidovanej účtovnej závierky</w:t>
      </w:r>
    </w:p>
    <w:tbl>
      <w:tblPr>
        <w:tblW w:w="9024" w:type="dxa"/>
        <w:tblInd w:w="38" w:type="dxa"/>
        <w:tblCellMar>
          <w:left w:w="10" w:type="dxa"/>
          <w:right w:w="10" w:type="dxa"/>
        </w:tblCellMar>
        <w:tblLook w:val="04A0"/>
      </w:tblPr>
      <w:tblGrid>
        <w:gridCol w:w="4446"/>
        <w:gridCol w:w="1516"/>
        <w:gridCol w:w="1534"/>
        <w:gridCol w:w="1528"/>
      </w:tblGrid>
      <w:tr w:rsidR="003E1AAD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Názov resp. </w:t>
            </w:r>
            <w:r>
              <w:rPr>
                <w:lang w:eastAsia="en-US"/>
              </w:rPr>
              <w:t xml:space="preserve">obchodné meno </w:t>
            </w:r>
          </w:p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konsolidovanej účtovnej jednotky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Metóda </w:t>
            </w:r>
          </w:p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úplnej konsolidácie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Metóda </w:t>
            </w:r>
          </w:p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podielovej konsolidácie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Metóda </w:t>
            </w:r>
          </w:p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vlastného imania</w:t>
            </w: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Obec Krížová Ves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Áno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3E1AA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3E1AA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Základná škola Krížová Ves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Áno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3E1AA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3E1AA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Rozvoj obce Krížová Ves s.r.o.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Áno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3E1AA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3E1AAD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3E1AAD" w:rsidRDefault="003E1AAD">
      <w:pPr>
        <w:jc w:val="both"/>
      </w:pPr>
    </w:p>
    <w:p w:rsidR="003E1AAD" w:rsidRDefault="00BF1534">
      <w:pPr>
        <w:jc w:val="both"/>
      </w:pPr>
      <w:r>
        <w:t xml:space="preserve">Pri dcérskych účtovných </w:t>
      </w:r>
      <w:r>
        <w:t>jednotkách bola použitá metóda úplnej konsolidácie.</w:t>
      </w:r>
    </w:p>
    <w:p w:rsidR="003E1AAD" w:rsidRDefault="003E1AAD">
      <w:pPr>
        <w:jc w:val="both"/>
      </w:pPr>
    </w:p>
    <w:p w:rsidR="003E1AAD" w:rsidRDefault="00BF1534">
      <w:pPr>
        <w:jc w:val="both"/>
      </w:pPr>
      <w:r>
        <w:t>V roku 2019, rovnako ako v predchádzajúcich účtovných obdobiach,  sa medzi účtovnými jednotkami konsolidovaného celku Obce neuskutočnil nákup, resp. predaj majetku. Preto nebolo potrebné vykonať konsolid</w:t>
      </w:r>
      <w:r>
        <w:t>áciu medzivýsledku.</w:t>
      </w:r>
    </w:p>
    <w:p w:rsidR="003E1AAD" w:rsidRDefault="003E1AAD"/>
    <w:p w:rsidR="003E1AAD" w:rsidRDefault="00BF1534">
      <w:pPr>
        <w:pStyle w:val="Nadpis1"/>
      </w:pPr>
      <w:r>
        <w:t>INFORMÁCIE O ÚDAJOCH NA STRANE AKTÍV  A  PASÍV</w:t>
      </w:r>
    </w:p>
    <w:p w:rsidR="003E1AAD" w:rsidRDefault="00BF1534">
      <w:pPr>
        <w:pStyle w:val="Nadpis2"/>
        <w:spacing w:before="0" w:after="0"/>
      </w:pPr>
      <w:r>
        <w:t>Dlhodobý nehmotný majetok a dlhodobý hmotný majetok</w:t>
      </w:r>
    </w:p>
    <w:p w:rsidR="003E1AAD" w:rsidRDefault="00BF1534">
      <w:pPr>
        <w:pStyle w:val="odstavec"/>
      </w:pPr>
      <w:r>
        <w:t>Prehľad pohybu dlhodobého nehmotného a dlhodobého hmotného majetku od 1. januára 2019 do 31. decembra 2019 je uvedený v tabuľkovej časti</w:t>
      </w:r>
      <w:r>
        <w:t xml:space="preserve"> </w:t>
      </w:r>
      <w:r>
        <w:rPr>
          <w:i/>
        </w:rPr>
        <w:t>Prehľad o pohybe dlhodobého majetku.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>Dlhodobý nehmotný a hmotný majetok je poistený pre prípad škôd spôsobených krádežou a živelnou pohromou až do výšky 796 645 eur.</w:t>
      </w:r>
    </w:p>
    <w:p w:rsidR="003E1AAD" w:rsidRDefault="003E1AAD">
      <w:pPr>
        <w:pStyle w:val="odstavec"/>
      </w:pPr>
    </w:p>
    <w:p w:rsidR="003E1AAD" w:rsidRDefault="00BF1534">
      <w:pPr>
        <w:pStyle w:val="Nadpis2"/>
        <w:spacing w:before="0" w:after="0"/>
      </w:pPr>
      <w:r>
        <w:t>Dlhodobý finančný majetok</w:t>
      </w:r>
    </w:p>
    <w:p w:rsidR="003E1AAD" w:rsidRDefault="00BF1534">
      <w:pPr>
        <w:pStyle w:val="odstavec"/>
      </w:pPr>
      <w:r>
        <w:t>Prehľad dlhodobého finančného majetku účtovnej jednotky od 1.</w:t>
      </w:r>
      <w:r>
        <w:t xml:space="preserve"> januára 2019 do 31. decembra 2019 je uvedený je uvedený v tabuľkovej časti </w:t>
      </w:r>
      <w:r>
        <w:rPr>
          <w:i/>
        </w:rPr>
        <w:t>Prehľad o pohybe dlhodobého majetku.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t>Obec vlastní akcie vo Vodárenskej spoločnosti, a.s. v mene euro, ktoré predstavujú 0,43 % podiel na základnom imaní. Účtovná hodnota k 31.12.2</w:t>
      </w:r>
      <w:r>
        <w:t xml:space="preserve">019 predstavovala sumu 232 125,07 eur. </w:t>
      </w:r>
    </w:p>
    <w:p w:rsidR="003E1AAD" w:rsidRDefault="003E1AAD">
      <w:pPr>
        <w:pStyle w:val="odstavec"/>
        <w:rPr>
          <w:sz w:val="22"/>
          <w:szCs w:val="22"/>
        </w:rPr>
      </w:pPr>
    </w:p>
    <w:p w:rsidR="003E1AAD" w:rsidRDefault="00BF1534">
      <w:pPr>
        <w:pStyle w:val="Nadpis2"/>
        <w:spacing w:before="0" w:after="0"/>
      </w:pPr>
      <w:r>
        <w:t>Pohľadávky</w:t>
      </w:r>
    </w:p>
    <w:p w:rsidR="003E1AAD" w:rsidRDefault="00BF1534">
      <w:pPr>
        <w:pStyle w:val="odstavec"/>
      </w:pPr>
      <w:r>
        <w:t>Vývoj opravných položiek k pohľadávkam ako aj rozdelenie pohľadávok podľa splatnosti sú uvedené v tabuľkovej časti.</w:t>
      </w:r>
    </w:p>
    <w:p w:rsidR="003E1AAD" w:rsidRDefault="003E1AAD">
      <w:pPr>
        <w:pStyle w:val="Nadpis2"/>
        <w:spacing w:before="0" w:after="0"/>
      </w:pPr>
    </w:p>
    <w:p w:rsidR="003E1AAD" w:rsidRDefault="00BF1534">
      <w:pPr>
        <w:pStyle w:val="Nadpis2"/>
        <w:spacing w:before="0" w:after="0"/>
      </w:pPr>
      <w:r>
        <w:t>Finančný majetok</w:t>
      </w:r>
    </w:p>
    <w:p w:rsidR="003E1AAD" w:rsidRDefault="00BF1534">
      <w:pPr>
        <w:pStyle w:val="Zkladntext"/>
        <w:spacing w:after="0"/>
        <w:jc w:val="both"/>
      </w:pPr>
      <w:r>
        <w:t>Ako finančný majetok sú vykázané peňažné prostriedky v pokladnici a úč</w:t>
      </w:r>
      <w:r>
        <w:t>ty v bankách. Účtami v bankách môže účtovná jednotka voľne disponovať, až na termínovaný vklad.</w:t>
      </w:r>
    </w:p>
    <w:p w:rsidR="003E1AAD" w:rsidRDefault="003E1AAD">
      <w:pPr>
        <w:pStyle w:val="Nadpis2"/>
        <w:spacing w:before="0" w:after="0"/>
        <w:rPr>
          <w:shd w:val="clear" w:color="auto" w:fill="FFFF00"/>
        </w:rPr>
      </w:pPr>
    </w:p>
    <w:p w:rsidR="003E1AAD" w:rsidRDefault="00BF1534">
      <w:pPr>
        <w:pStyle w:val="Nadpis2"/>
        <w:spacing w:before="0" w:after="0"/>
      </w:pPr>
      <w:r>
        <w:t>Poskytnuté návratné finančné výpomoci</w:t>
      </w:r>
    </w:p>
    <w:p w:rsidR="003E1AAD" w:rsidRDefault="00BF1534">
      <w:pPr>
        <w:pStyle w:val="odstavec"/>
      </w:pPr>
      <w:r>
        <w:t xml:space="preserve">Obec neposkytla v roku 2019 žiadnu návratnú finančnú výpomoc. </w:t>
      </w:r>
    </w:p>
    <w:p w:rsidR="003E1AAD" w:rsidRDefault="003E1AAD">
      <w:pPr>
        <w:pStyle w:val="Nadpis1"/>
        <w:spacing w:before="0" w:after="0"/>
        <w:rPr>
          <w:kern w:val="0"/>
        </w:rPr>
      </w:pPr>
    </w:p>
    <w:p w:rsidR="003E1AAD" w:rsidRDefault="003E1AAD">
      <w:pPr>
        <w:pStyle w:val="Nadpis1"/>
        <w:spacing w:before="0" w:after="0"/>
      </w:pPr>
    </w:p>
    <w:p w:rsidR="003E1AAD" w:rsidRDefault="00BF1534">
      <w:pPr>
        <w:pStyle w:val="Nadpis1"/>
        <w:spacing w:before="0" w:after="0"/>
      </w:pPr>
      <w:r>
        <w:t>INFORMÁCIE O ÚDAJOCH NA STRANE PASÍV SÚVAHY</w:t>
      </w:r>
    </w:p>
    <w:p w:rsidR="003E1AAD" w:rsidRDefault="003E1AAD">
      <w:pPr>
        <w:pStyle w:val="Nadpis2"/>
        <w:spacing w:before="0" w:after="0"/>
      </w:pPr>
    </w:p>
    <w:p w:rsidR="003E1AAD" w:rsidRDefault="00BF1534">
      <w:pPr>
        <w:pStyle w:val="Nadpis2"/>
        <w:spacing w:before="0" w:after="0"/>
      </w:pPr>
      <w:r>
        <w:t>Vlastné ima</w:t>
      </w:r>
      <w:r>
        <w:t>nie</w:t>
      </w:r>
    </w:p>
    <w:p w:rsidR="003E1AAD" w:rsidRDefault="00BF1534">
      <w:pPr>
        <w:pStyle w:val="odstavec"/>
      </w:pPr>
      <w:r>
        <w:t>Prehľad vlastného imania konsolidovaného celku od 1. januára 2019 do 31. decembra 2019 je uvedený v tabuľkovej časti.</w:t>
      </w:r>
    </w:p>
    <w:p w:rsidR="003E1AAD" w:rsidRDefault="003E1AAD">
      <w:pPr>
        <w:pStyle w:val="odstavec"/>
      </w:pPr>
    </w:p>
    <w:p w:rsidR="003E1AAD" w:rsidRDefault="00BF1534">
      <w:pPr>
        <w:pStyle w:val="Nadpis2"/>
        <w:spacing w:before="0" w:after="0"/>
      </w:pPr>
      <w:r>
        <w:t>Rezervy</w:t>
      </w:r>
    </w:p>
    <w:p w:rsidR="003E1AAD" w:rsidRDefault="00BF1534">
      <w:pPr>
        <w:pStyle w:val="odstavec"/>
      </w:pPr>
      <w:r>
        <w:t>Prehľad rezerv konsolidovaného celku od 1. januára 2019 do  31. decembra 2019 je uvedený je uvedený v tabuľkovej časti.</w:t>
      </w:r>
    </w:p>
    <w:p w:rsidR="003E1AAD" w:rsidRDefault="003E1AAD">
      <w:pPr>
        <w:jc w:val="both"/>
      </w:pPr>
    </w:p>
    <w:p w:rsidR="003E1AAD" w:rsidRDefault="00BF1534">
      <w:pPr>
        <w:pStyle w:val="Pismenka"/>
        <w:tabs>
          <w:tab w:val="clear" w:pos="426"/>
          <w:tab w:val="left" w:pos="708"/>
        </w:tabs>
        <w:ind w:left="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Obec</w:t>
      </w:r>
      <w:r>
        <w:rPr>
          <w:b w:val="0"/>
          <w:bCs w:val="0"/>
          <w:sz w:val="24"/>
          <w:szCs w:val="24"/>
        </w:rPr>
        <w:t xml:space="preserve"> vykazuje rezervu na audit. </w:t>
      </w:r>
    </w:p>
    <w:p w:rsidR="003E1AAD" w:rsidRDefault="003E1AAD">
      <w:pPr>
        <w:ind w:left="426"/>
        <w:jc w:val="both"/>
      </w:pPr>
    </w:p>
    <w:p w:rsidR="003E1AAD" w:rsidRDefault="00BF1534">
      <w:pPr>
        <w:pStyle w:val="Nadpis2"/>
        <w:spacing w:before="0" w:after="0"/>
      </w:pPr>
      <w:r>
        <w:t>Záväzky</w:t>
      </w:r>
    </w:p>
    <w:p w:rsidR="003E1AAD" w:rsidRDefault="00BF1534">
      <w:pPr>
        <w:jc w:val="both"/>
      </w:pPr>
      <w:r>
        <w:t>Prehľad záväzkov podľa splatnosti je uvedený v tabuľkovej časti.</w:t>
      </w:r>
    </w:p>
    <w:p w:rsidR="003E1AAD" w:rsidRDefault="003E1AAD">
      <w:pPr>
        <w:pStyle w:val="Nadpis2"/>
        <w:spacing w:before="0" w:after="0"/>
      </w:pPr>
    </w:p>
    <w:p w:rsidR="003E1AAD" w:rsidRDefault="00BF1534">
      <w:pPr>
        <w:pStyle w:val="Nadpis2"/>
        <w:spacing w:before="0" w:after="0"/>
      </w:pPr>
      <w:r>
        <w:t>Bankové úvery a ostatné prijaté návratné finančné výpomoci</w:t>
      </w:r>
    </w:p>
    <w:p w:rsidR="003E1AAD" w:rsidRDefault="00BF1534">
      <w:pPr>
        <w:jc w:val="both"/>
      </w:pPr>
      <w:r>
        <w:t xml:space="preserve">Obce k 31.12.2019 nemá žiadne úvery </w:t>
      </w:r>
    </w:p>
    <w:p w:rsidR="003E1AAD" w:rsidRDefault="003E1AAD">
      <w:pPr>
        <w:jc w:val="both"/>
      </w:pPr>
    </w:p>
    <w:p w:rsidR="003E1AAD" w:rsidRDefault="003E1AAD">
      <w:pPr>
        <w:jc w:val="both"/>
      </w:pPr>
    </w:p>
    <w:p w:rsidR="003E1AAD" w:rsidRDefault="003E1AAD">
      <w:pPr>
        <w:jc w:val="both"/>
      </w:pPr>
    </w:p>
    <w:p w:rsidR="003E1AAD" w:rsidRDefault="00BF1534">
      <w:pPr>
        <w:tabs>
          <w:tab w:val="left" w:pos="0"/>
          <w:tab w:val="left" w:pos="360"/>
          <w:tab w:val="left" w:pos="420"/>
        </w:tabs>
        <w:ind w:left="-14" w:hanging="70"/>
        <w:rPr>
          <w:b/>
          <w:caps/>
        </w:rPr>
      </w:pPr>
      <w:r>
        <w:rPr>
          <w:b/>
          <w:caps/>
        </w:rPr>
        <w:t>Informácie o výnosoch a nákladoch</w:t>
      </w:r>
    </w:p>
    <w:p w:rsidR="003E1AAD" w:rsidRDefault="003E1AAD"/>
    <w:p w:rsidR="003E1AAD" w:rsidRDefault="00BF1534">
      <w:r>
        <w:t>Prehľad o daňových</w:t>
      </w:r>
      <w:r>
        <w:t xml:space="preserve"> výnosov samosprávy:</w:t>
      </w:r>
    </w:p>
    <w:p w:rsidR="003E1AAD" w:rsidRDefault="00BF1534">
      <w:pPr>
        <w:ind w:left="426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v eur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279"/>
        <w:gridCol w:w="5528"/>
        <w:gridCol w:w="1701"/>
        <w:gridCol w:w="1554"/>
      </w:tblGrid>
      <w:tr w:rsidR="003E1AAD">
        <w:tblPrEx>
          <w:tblCellMar>
            <w:top w:w="0" w:type="dxa"/>
            <w:bottom w:w="0" w:type="dxa"/>
          </w:tblCellMar>
        </w:tblPrEx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3E1AA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3E1AAD">
            <w:pPr>
              <w:spacing w:line="276" w:lineRule="auto"/>
              <w:jc w:val="center"/>
              <w:rPr>
                <w:i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AAD" w:rsidRDefault="00BF153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        31.12.2019              31.12.2018</w:t>
            </w: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pStyle w:val="Tabulka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Poukázaný podiel na dani z príjmov zo štátneho rozpočtu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921 751,33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808 056,00</w:t>
            </w: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pStyle w:val="Tabulka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Dane za špecifické služby - za psa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404,00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465,50</w:t>
            </w: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pStyle w:val="Tabulka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Daň z nehnuteľností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10 855,90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11 032,66</w:t>
            </w:r>
          </w:p>
        </w:tc>
      </w:tr>
      <w:tr w:rsidR="003E1AAD">
        <w:tblPrEx>
          <w:tblCellMar>
            <w:top w:w="0" w:type="dxa"/>
            <w:bottom w:w="0" w:type="dxa"/>
          </w:tblCellMar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AAD" w:rsidRDefault="00BF1534">
            <w:pPr>
              <w:pStyle w:val="Tabulka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Daňové </w:t>
            </w:r>
            <w:r>
              <w:rPr>
                <w:b/>
                <w:sz w:val="20"/>
              </w:rPr>
              <w:t xml:space="preserve">výnosy samosprávy spolu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993 011,23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AD" w:rsidRDefault="00BF1534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833 452,35</w:t>
            </w:r>
          </w:p>
        </w:tc>
      </w:tr>
    </w:tbl>
    <w:p w:rsidR="003E1AAD" w:rsidRDefault="003E1AAD">
      <w:pPr>
        <w:tabs>
          <w:tab w:val="left" w:pos="0"/>
          <w:tab w:val="left" w:pos="360"/>
          <w:tab w:val="left" w:pos="420"/>
        </w:tabs>
        <w:ind w:left="-14" w:hanging="70"/>
        <w:rPr>
          <w:b/>
          <w:sz w:val="22"/>
          <w:szCs w:val="22"/>
        </w:rPr>
      </w:pPr>
    </w:p>
    <w:p w:rsidR="003E1AAD" w:rsidRDefault="00BF1534">
      <w:pPr>
        <w:rPr>
          <w:sz w:val="22"/>
          <w:szCs w:val="22"/>
        </w:rPr>
      </w:pPr>
      <w:r>
        <w:rPr>
          <w:sz w:val="22"/>
          <w:szCs w:val="22"/>
        </w:rPr>
        <w:t>Ďalšie podrobnejšie informácie k nákladom a výnosom sú uvedené v tabuľkovej časti</w:t>
      </w:r>
    </w:p>
    <w:p w:rsidR="003E1AAD" w:rsidRDefault="003E1AAD">
      <w:pPr>
        <w:rPr>
          <w:sz w:val="22"/>
          <w:szCs w:val="22"/>
        </w:rPr>
      </w:pPr>
    </w:p>
    <w:p w:rsidR="003E1AAD" w:rsidRDefault="00BF1534">
      <w:pPr>
        <w:tabs>
          <w:tab w:val="left" w:pos="462"/>
        </w:tabs>
        <w:rPr>
          <w:b/>
        </w:rPr>
      </w:pPr>
      <w:r>
        <w:rPr>
          <w:b/>
        </w:rPr>
        <w:t>INFORMÁCIE NA PODSÚVAHOVÝCH ÚČTOCH</w:t>
      </w:r>
    </w:p>
    <w:p w:rsidR="003E1AAD" w:rsidRDefault="003E1AAD">
      <w:pPr>
        <w:jc w:val="both"/>
      </w:pPr>
    </w:p>
    <w:p w:rsidR="003E1AAD" w:rsidRDefault="00BF1534">
      <w:pPr>
        <w:pStyle w:val="Zkladntext"/>
        <w:jc w:val="both"/>
      </w:pPr>
      <w:r>
        <w:t xml:space="preserve">V roku 2019 nebola obec účastníkom žiadnych súdnych sporov. </w:t>
      </w:r>
    </w:p>
    <w:p w:rsidR="003E1AAD" w:rsidRDefault="003E1AAD">
      <w:pPr>
        <w:tabs>
          <w:tab w:val="left" w:pos="462"/>
        </w:tabs>
        <w:rPr>
          <w:b/>
          <w:sz w:val="22"/>
          <w:szCs w:val="22"/>
          <w:shd w:val="clear" w:color="auto" w:fill="FF0000"/>
        </w:rPr>
      </w:pPr>
    </w:p>
    <w:p w:rsidR="003E1AAD" w:rsidRDefault="003E1AAD">
      <w:pPr>
        <w:tabs>
          <w:tab w:val="left" w:pos="448"/>
        </w:tabs>
        <w:rPr>
          <w:b/>
          <w:sz w:val="22"/>
          <w:szCs w:val="22"/>
        </w:rPr>
      </w:pPr>
    </w:p>
    <w:p w:rsidR="003E1AAD" w:rsidRDefault="00BF1534">
      <w:pPr>
        <w:tabs>
          <w:tab w:val="left" w:pos="448"/>
        </w:tabs>
        <w:ind w:left="425" w:hanging="425"/>
        <w:rPr>
          <w:b/>
        </w:rPr>
      </w:pPr>
      <w:r>
        <w:rPr>
          <w:b/>
        </w:rPr>
        <w:t xml:space="preserve">SKUTOČNOSTI, KTORÉ </w:t>
      </w:r>
      <w:r>
        <w:rPr>
          <w:b/>
        </w:rPr>
        <w:t>NASTALI PO DNI, KU KTORÉMU SA ZOSTAVUJE</w:t>
      </w:r>
    </w:p>
    <w:p w:rsidR="003E1AAD" w:rsidRDefault="00BF1534">
      <w:pPr>
        <w:tabs>
          <w:tab w:val="left" w:pos="448"/>
        </w:tabs>
        <w:ind w:left="425" w:hanging="425"/>
        <w:rPr>
          <w:b/>
        </w:rPr>
      </w:pPr>
      <w:r>
        <w:rPr>
          <w:b/>
        </w:rPr>
        <w:t>KONSOLIDOVANA ÚČTOVNÁ ZÁVIERKA, DO DŇA JEJ ZOSTAVENIA</w:t>
      </w:r>
    </w:p>
    <w:p w:rsidR="003E1AAD" w:rsidRDefault="003E1AAD">
      <w:pPr>
        <w:pStyle w:val="odstavec"/>
      </w:pPr>
    </w:p>
    <w:p w:rsidR="003E1AAD" w:rsidRDefault="00BF1534">
      <w:pPr>
        <w:pStyle w:val="odstavec"/>
      </w:pPr>
      <w:r>
        <w:lastRenderedPageBreak/>
        <w:t xml:space="preserve">Po 31. decembri </w:t>
      </w:r>
      <w:r>
        <w:rPr>
          <w:iCs/>
        </w:rPr>
        <w:t>2019</w:t>
      </w:r>
      <w:r>
        <w:t xml:space="preserve"> nenastali  udalosti, ktoré si vyžadovali zverejnenie alebo vykázanie v konsolidovanej účtovnej závierke za rok 2019.</w:t>
      </w:r>
    </w:p>
    <w:p w:rsidR="003E1AAD" w:rsidRDefault="003E1AAD"/>
    <w:p w:rsidR="003E1AAD" w:rsidRDefault="003E1AAD"/>
    <w:p w:rsidR="003E1AAD" w:rsidRDefault="003E1AAD"/>
    <w:p w:rsidR="003E1AAD" w:rsidRDefault="003E1AAD"/>
    <w:sectPr w:rsidR="003E1AAD" w:rsidSect="003E1A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AD" w:rsidRDefault="003E1AAD" w:rsidP="003E1AAD">
      <w:r>
        <w:separator/>
      </w:r>
    </w:p>
  </w:endnote>
  <w:endnote w:type="continuationSeparator" w:id="0">
    <w:p w:rsidR="003E1AAD" w:rsidRDefault="003E1AAD" w:rsidP="003E1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AD" w:rsidRDefault="00BF1534" w:rsidP="003E1AAD">
      <w:r w:rsidRPr="003E1AAD">
        <w:rPr>
          <w:color w:val="000000"/>
        </w:rPr>
        <w:separator/>
      </w:r>
    </w:p>
  </w:footnote>
  <w:footnote w:type="continuationSeparator" w:id="0">
    <w:p w:rsidR="003E1AAD" w:rsidRDefault="003E1AAD" w:rsidP="003E1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AAD"/>
    <w:rsid w:val="003E1AAD"/>
    <w:rsid w:val="00BF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E1AA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rsid w:val="003E1AAD"/>
    <w:pPr>
      <w:keepNext/>
      <w:spacing w:before="60" w:after="240"/>
      <w:ind w:left="-14"/>
      <w:jc w:val="both"/>
      <w:outlineLvl w:val="0"/>
    </w:pPr>
    <w:rPr>
      <w:b/>
      <w:bCs/>
      <w:kern w:val="3"/>
    </w:rPr>
  </w:style>
  <w:style w:type="paragraph" w:styleId="Nadpis2">
    <w:name w:val="heading 2"/>
    <w:basedOn w:val="Normlny"/>
    <w:next w:val="Normlny"/>
    <w:rsid w:val="003E1AAD"/>
    <w:pPr>
      <w:keepNext/>
      <w:spacing w:before="60" w:after="240"/>
      <w:outlineLvl w:val="1"/>
    </w:pPr>
    <w:rPr>
      <w:bCs/>
      <w:i/>
      <w:i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sid w:val="003E1AAD"/>
    <w:rPr>
      <w:rFonts w:ascii="Times New Roman" w:eastAsia="Times New Roman" w:hAnsi="Times New Roman" w:cs="Times New Roman"/>
      <w:b/>
      <w:bCs/>
      <w:kern w:val="3"/>
      <w:sz w:val="24"/>
      <w:szCs w:val="24"/>
      <w:lang w:eastAsia="sk-SK"/>
    </w:rPr>
  </w:style>
  <w:style w:type="character" w:customStyle="1" w:styleId="Nadpis2Char">
    <w:name w:val="Nadpis 2 Char"/>
    <w:basedOn w:val="Predvolenpsmoodseku"/>
    <w:rsid w:val="003E1AAD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sk-SK"/>
    </w:rPr>
  </w:style>
  <w:style w:type="paragraph" w:styleId="Zkladntext">
    <w:name w:val="Body Text"/>
    <w:basedOn w:val="Normlny"/>
    <w:rsid w:val="003E1AAD"/>
    <w:pPr>
      <w:spacing w:after="120"/>
    </w:pPr>
  </w:style>
  <w:style w:type="character" w:customStyle="1" w:styleId="ZkladntextChar">
    <w:name w:val="Základný text Char"/>
    <w:basedOn w:val="Predvolenpsmoodseku"/>
    <w:rsid w:val="003E1A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tavec">
    <w:name w:val="odstavec"/>
    <w:basedOn w:val="Normlny"/>
    <w:autoRedefine/>
    <w:rsid w:val="003E1AAD"/>
    <w:pPr>
      <w:ind w:right="-79"/>
      <w:jc w:val="both"/>
    </w:pPr>
  </w:style>
  <w:style w:type="paragraph" w:customStyle="1" w:styleId="abc">
    <w:name w:val="abc"/>
    <w:basedOn w:val="Normlny"/>
    <w:autoRedefine/>
    <w:rsid w:val="003E1AAD"/>
    <w:pPr>
      <w:spacing w:before="60" w:after="120"/>
      <w:ind w:left="465"/>
      <w:jc w:val="both"/>
    </w:pPr>
    <w:rPr>
      <w:sz w:val="22"/>
      <w:szCs w:val="22"/>
    </w:rPr>
  </w:style>
  <w:style w:type="paragraph" w:customStyle="1" w:styleId="Tabulka">
    <w:name w:val="Tabulka"/>
    <w:basedOn w:val="Normlny"/>
    <w:rsid w:val="003E1AAD"/>
    <w:rPr>
      <w:color w:val="000000"/>
      <w:sz w:val="18"/>
      <w:szCs w:val="20"/>
      <w:lang w:eastAsia="en-US"/>
    </w:rPr>
  </w:style>
  <w:style w:type="paragraph" w:customStyle="1" w:styleId="Pismenka">
    <w:name w:val="Pismenka"/>
    <w:basedOn w:val="Zkladntext"/>
    <w:rsid w:val="003E1AAD"/>
    <w:pPr>
      <w:tabs>
        <w:tab w:val="left" w:pos="426"/>
      </w:tabs>
      <w:spacing w:after="0"/>
      <w:ind w:left="426" w:hanging="426"/>
      <w:jc w:val="both"/>
    </w:pPr>
    <w:rPr>
      <w:b/>
      <w:bCs/>
      <w:sz w:val="20"/>
      <w:szCs w:val="20"/>
    </w:rPr>
  </w:style>
  <w:style w:type="paragraph" w:styleId="Textbubliny">
    <w:name w:val="Balloon Text"/>
    <w:basedOn w:val="Normlny"/>
    <w:rsid w:val="003E1A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sid w:val="003E1AA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Grivalsky</dc:creator>
  <cp:lastModifiedBy>Používateľ systému Windows</cp:lastModifiedBy>
  <cp:revision>2</cp:revision>
  <cp:lastPrinted>2020-06-10T07:17:00Z</cp:lastPrinted>
  <dcterms:created xsi:type="dcterms:W3CDTF">2020-06-18T07:44:00Z</dcterms:created>
  <dcterms:modified xsi:type="dcterms:W3CDTF">2020-06-18T07:44:00Z</dcterms:modified>
</cp:coreProperties>
</file>